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14:paraId="69F212F5" w14:textId="77777777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55E02889" w14:textId="77777777"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7FEE5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DE6EF33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F73337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18A686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45D4CB4E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0F88418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7946E23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F61095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8B0DCDF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741637AB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1362811A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4FF7E2A" w14:textId="75B2BBAE" w:rsidR="00722612" w:rsidRPr="00F9414C" w:rsidRDefault="00594C69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06062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08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06062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мая</w:t>
            </w:r>
            <w:r w:rsidR="00426C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060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89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97E22F" w14:textId="77777777"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CCDF26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F995F83" w14:textId="77777777"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06062E" w14:paraId="50EAA306" w14:textId="77777777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06CE3047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062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E03183" wp14:editId="2CD853E5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27DF8E"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F1EBD28" w14:textId="1798ED20" w:rsidR="00722612" w:rsidRPr="0006062E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06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91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 отказе</w:t>
            </w:r>
            <w:r w:rsidRPr="000606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44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0606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предоставлении  </w:t>
            </w:r>
            <w:r w:rsidR="004C7080" w:rsidRPr="0006062E">
              <w:rPr>
                <w:rFonts w:ascii="Times New Roman" w:hAnsi="Times New Roman" w:cs="Times New Roman"/>
                <w:sz w:val="26"/>
                <w:szCs w:val="26"/>
              </w:rPr>
              <w:t xml:space="preserve">разрешения </w:t>
            </w:r>
            <w:r w:rsidR="00891DB1" w:rsidRPr="00891D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на условно разрешенный вид использования земельного участка с кадастровым номером 56:21:1301006:397 расположенного по адресу: Оренбургская обл., Оренбургский р-н, сельское поселение Ленинский сельсовет, п. Ленина, </w:t>
            </w:r>
            <w:proofErr w:type="spellStart"/>
            <w:r w:rsidR="00891DB1" w:rsidRPr="00891D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пер.Казачий</w:t>
            </w:r>
            <w:proofErr w:type="spellEnd"/>
            <w:r w:rsidR="00891DB1" w:rsidRPr="00891D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земельный участок №2 на - «блокированная жилая застройка» (код 2.3)</w:t>
            </w:r>
            <w:r w:rsidR="00A0751B" w:rsidRPr="0006062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4B6532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C761BCF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5BC94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F02E49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2CB362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47CF0A6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25576" w14:textId="744621B9" w:rsidR="00722612" w:rsidRPr="0006062E" w:rsidRDefault="0006062E" w:rsidP="00FC55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062E">
        <w:rPr>
          <w:rFonts w:ascii="Times New Roman" w:hAnsi="Times New Roman" w:cs="Times New Roman"/>
          <w:sz w:val="26"/>
          <w:szCs w:val="26"/>
        </w:rPr>
        <w:t xml:space="preserve">        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На основании протокола проведения публичных слушаний от </w:t>
      </w:r>
      <w:r w:rsidR="00891DB1">
        <w:rPr>
          <w:rFonts w:ascii="Times New Roman" w:hAnsi="Times New Roman" w:cs="Times New Roman"/>
          <w:sz w:val="26"/>
          <w:szCs w:val="26"/>
        </w:rPr>
        <w:t>01</w:t>
      </w:r>
      <w:r w:rsidR="00722612" w:rsidRPr="0006062E">
        <w:rPr>
          <w:rFonts w:ascii="Times New Roman" w:hAnsi="Times New Roman" w:cs="Times New Roman"/>
          <w:sz w:val="26"/>
          <w:szCs w:val="26"/>
        </w:rPr>
        <w:t>.0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722612" w:rsidRPr="0006062E">
        <w:rPr>
          <w:rFonts w:ascii="Times New Roman" w:hAnsi="Times New Roman" w:cs="Times New Roman"/>
          <w:sz w:val="26"/>
          <w:szCs w:val="26"/>
        </w:rPr>
        <w:t>.202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г. по </w:t>
      </w:r>
      <w:r w:rsidR="00891DB1" w:rsidRPr="00891DB1">
        <w:rPr>
          <w:rFonts w:ascii="Times New Roman" w:hAnsi="Times New Roman" w:cs="Times New Roman"/>
          <w:sz w:val="26"/>
          <w:szCs w:val="26"/>
        </w:rPr>
        <w:t xml:space="preserve"> вопросу предоставления разрешения на условно разрешенный вид использования земельного участка с кадастровым номером 56:21:1301006:397 расположенного по адресу: Оренбургская обл., Оренбургский р-н, сельское поселение Ленинский сельсовет, п. Ленина, пер</w:t>
      </w:r>
      <w:r w:rsidR="00891DB1">
        <w:rPr>
          <w:rFonts w:ascii="Times New Roman" w:hAnsi="Times New Roman" w:cs="Times New Roman"/>
          <w:sz w:val="26"/>
          <w:szCs w:val="26"/>
        </w:rPr>
        <w:t xml:space="preserve">еулок </w:t>
      </w:r>
      <w:r w:rsidR="00891DB1" w:rsidRPr="00891DB1">
        <w:rPr>
          <w:rFonts w:ascii="Times New Roman" w:hAnsi="Times New Roman" w:cs="Times New Roman"/>
          <w:sz w:val="26"/>
          <w:szCs w:val="26"/>
        </w:rPr>
        <w:t>Казачий, земельный участок №2 на - «блокированная жилая застройка» (код 2.3)</w:t>
      </w:r>
      <w:r w:rsidR="00722612" w:rsidRPr="0006062E">
        <w:rPr>
          <w:rFonts w:ascii="Times New Roman" w:hAnsi="Times New Roman" w:cs="Times New Roman"/>
          <w:sz w:val="26"/>
          <w:szCs w:val="26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06062E">
        <w:rPr>
          <w:rFonts w:ascii="Times New Roman" w:hAnsi="Times New Roman" w:cs="Times New Roman"/>
          <w:sz w:val="26"/>
          <w:szCs w:val="26"/>
        </w:rPr>
        <w:t xml:space="preserve"> </w:t>
      </w:r>
      <w:r w:rsidR="00891DB1">
        <w:rPr>
          <w:rFonts w:ascii="Times New Roman" w:hAnsi="Times New Roman" w:cs="Times New Roman"/>
          <w:sz w:val="26"/>
          <w:szCs w:val="26"/>
        </w:rPr>
        <w:t>104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-п от </w:t>
      </w:r>
      <w:r w:rsidR="00A0751B" w:rsidRPr="0006062E">
        <w:rPr>
          <w:rFonts w:ascii="Times New Roman" w:hAnsi="Times New Roman" w:cs="Times New Roman"/>
          <w:sz w:val="26"/>
          <w:szCs w:val="26"/>
        </w:rPr>
        <w:t>1</w:t>
      </w:r>
      <w:r w:rsidR="00891DB1">
        <w:rPr>
          <w:rFonts w:ascii="Times New Roman" w:hAnsi="Times New Roman" w:cs="Times New Roman"/>
          <w:sz w:val="26"/>
          <w:szCs w:val="26"/>
        </w:rPr>
        <w:t>5</w:t>
      </w:r>
      <w:r w:rsidR="008E216B" w:rsidRPr="0006062E">
        <w:rPr>
          <w:rFonts w:ascii="Times New Roman" w:hAnsi="Times New Roman" w:cs="Times New Roman"/>
          <w:sz w:val="26"/>
          <w:szCs w:val="26"/>
        </w:rPr>
        <w:t>.0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8E216B" w:rsidRPr="0006062E">
        <w:rPr>
          <w:rFonts w:ascii="Times New Roman" w:hAnsi="Times New Roman" w:cs="Times New Roman"/>
          <w:sz w:val="26"/>
          <w:szCs w:val="26"/>
        </w:rPr>
        <w:t>.202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8E216B" w:rsidRPr="0006062E">
        <w:rPr>
          <w:rFonts w:ascii="Times New Roman" w:hAnsi="Times New Roman" w:cs="Times New Roman"/>
          <w:sz w:val="26"/>
          <w:szCs w:val="26"/>
        </w:rPr>
        <w:t xml:space="preserve">г «Об утверждении заключения  о результатах 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891DB1" w:rsidRPr="00891DB1">
        <w:rPr>
          <w:rFonts w:ascii="Times New Roman" w:hAnsi="Times New Roman" w:cs="Times New Roman"/>
          <w:sz w:val="26"/>
          <w:szCs w:val="26"/>
        </w:rPr>
        <w:t>по вопросу предоставления разрешения на условно разрешенный вид использования земельного участка с кадастровым номером 56:21:1301006:397 расположенного по адресу: Оренбургская обл., Оренбургский р-н, сельское поселение Ленинский сельсовет, п. Ленина, пер.</w:t>
      </w:r>
      <w:r w:rsidR="00891DB1">
        <w:rPr>
          <w:rFonts w:ascii="Times New Roman" w:hAnsi="Times New Roman" w:cs="Times New Roman"/>
          <w:sz w:val="26"/>
          <w:szCs w:val="26"/>
        </w:rPr>
        <w:t xml:space="preserve"> </w:t>
      </w:r>
      <w:r w:rsidR="00891DB1" w:rsidRPr="00891DB1">
        <w:rPr>
          <w:rFonts w:ascii="Times New Roman" w:hAnsi="Times New Roman" w:cs="Times New Roman"/>
          <w:sz w:val="26"/>
          <w:szCs w:val="26"/>
        </w:rPr>
        <w:t>Казачий, земельный участок №2 на - «блокированная жилая застройка» (код 2.3)</w:t>
      </w:r>
      <w:r w:rsidR="00722612" w:rsidRPr="0006062E">
        <w:rPr>
          <w:rFonts w:ascii="Times New Roman" w:hAnsi="Times New Roman" w:cs="Times New Roman"/>
          <w:sz w:val="26"/>
          <w:szCs w:val="26"/>
        </w:rPr>
        <w:t>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области, утвержденными Решением Совета Депутатов муниципального образования Ленинский сельсовет Оренбургского ра</w:t>
      </w:r>
      <w:r w:rsidR="008E216B" w:rsidRPr="0006062E">
        <w:rPr>
          <w:rFonts w:ascii="Times New Roman" w:hAnsi="Times New Roman" w:cs="Times New Roman"/>
          <w:sz w:val="26"/>
          <w:szCs w:val="26"/>
        </w:rPr>
        <w:t>йона Оренбургской области</w:t>
      </w:r>
      <w:r w:rsidR="00722612" w:rsidRPr="0006062E">
        <w:rPr>
          <w:rFonts w:ascii="Times New Roman" w:hAnsi="Times New Roman" w:cs="Times New Roman"/>
          <w:sz w:val="26"/>
          <w:szCs w:val="26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14:paraId="68706A9A" w14:textId="0E42C191" w:rsidR="00A0751B" w:rsidRPr="0006062E" w:rsidRDefault="00FC5526" w:rsidP="00506D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062E">
        <w:rPr>
          <w:rFonts w:ascii="Times New Roman" w:hAnsi="Times New Roman" w:cs="Times New Roman"/>
          <w:sz w:val="26"/>
          <w:szCs w:val="26"/>
        </w:rPr>
        <w:t xml:space="preserve">         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1. </w:t>
      </w:r>
      <w:r w:rsidR="00891DB1">
        <w:rPr>
          <w:rFonts w:ascii="Times New Roman" w:hAnsi="Times New Roman" w:cs="Times New Roman"/>
          <w:sz w:val="26"/>
          <w:szCs w:val="26"/>
        </w:rPr>
        <w:t xml:space="preserve">Отказать в </w:t>
      </w:r>
      <w:proofErr w:type="gramStart"/>
      <w:r w:rsidR="00891DB1">
        <w:rPr>
          <w:rFonts w:ascii="Times New Roman" w:hAnsi="Times New Roman" w:cs="Times New Roman"/>
          <w:sz w:val="26"/>
          <w:szCs w:val="26"/>
        </w:rPr>
        <w:t>п</w:t>
      </w:r>
      <w:r w:rsidR="00722612" w:rsidRPr="0006062E">
        <w:rPr>
          <w:rFonts w:ascii="Times New Roman" w:hAnsi="Times New Roman" w:cs="Times New Roman"/>
          <w:sz w:val="26"/>
          <w:szCs w:val="26"/>
        </w:rPr>
        <w:t>редостав</w:t>
      </w:r>
      <w:r w:rsidR="00891DB1">
        <w:rPr>
          <w:rFonts w:ascii="Times New Roman" w:hAnsi="Times New Roman" w:cs="Times New Roman"/>
          <w:sz w:val="26"/>
          <w:szCs w:val="26"/>
        </w:rPr>
        <w:t>лении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  </w:t>
      </w:r>
      <w:r w:rsidR="00891DB1" w:rsidRPr="00891DB1">
        <w:rPr>
          <w:rFonts w:ascii="Times New Roman" w:hAnsi="Times New Roman" w:cs="Times New Roman"/>
          <w:sz w:val="26"/>
          <w:szCs w:val="26"/>
        </w:rPr>
        <w:t>разрешения</w:t>
      </w:r>
      <w:proofErr w:type="gramEnd"/>
      <w:r w:rsidR="00891DB1" w:rsidRPr="00891DB1">
        <w:rPr>
          <w:rFonts w:ascii="Times New Roman" w:hAnsi="Times New Roman" w:cs="Times New Roman"/>
          <w:sz w:val="26"/>
          <w:szCs w:val="26"/>
        </w:rPr>
        <w:t xml:space="preserve"> на условно разрешенный вид использования земельного участка с кадастровым номером 56:21:1301006:397 расположенного по адресу: Оренбургская обл., Оренбургский р-н, сельское поселение </w:t>
      </w:r>
      <w:r w:rsidR="00891DB1" w:rsidRPr="00891DB1">
        <w:rPr>
          <w:rFonts w:ascii="Times New Roman" w:hAnsi="Times New Roman" w:cs="Times New Roman"/>
          <w:sz w:val="26"/>
          <w:szCs w:val="26"/>
        </w:rPr>
        <w:lastRenderedPageBreak/>
        <w:t>Ленинский сельсовет, п. Ленина, пер. Казачий, земельный участок №2 на - «блокированная жилая застройка» (код 2.3)</w:t>
      </w:r>
      <w:r w:rsidR="00A0751B" w:rsidRPr="0006062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7CA05B5" w14:textId="77777777" w:rsidR="00722612" w:rsidRPr="0006062E" w:rsidRDefault="00722612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062E">
        <w:rPr>
          <w:rFonts w:ascii="Times New Roman" w:hAnsi="Times New Roman" w:cs="Times New Roman"/>
          <w:sz w:val="26"/>
          <w:szCs w:val="26"/>
        </w:rPr>
        <w:t>2.  Контроль за исполнением настоящего Постановления оставляю за собой.</w:t>
      </w:r>
    </w:p>
    <w:p w14:paraId="5C49CD5D" w14:textId="040FDA00" w:rsidR="00722612" w:rsidRPr="0006062E" w:rsidRDefault="0006062E" w:rsidP="0006062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7080" w:rsidRPr="0006062E">
        <w:rPr>
          <w:rFonts w:ascii="Times New Roman" w:hAnsi="Times New Roman" w:cs="Times New Roman"/>
          <w:sz w:val="26"/>
          <w:szCs w:val="26"/>
        </w:rPr>
        <w:t>3</w:t>
      </w:r>
      <w:r w:rsidR="00722612" w:rsidRPr="0006062E">
        <w:rPr>
          <w:rFonts w:ascii="Times New Roman" w:hAnsi="Times New Roman" w:cs="Times New Roman"/>
          <w:sz w:val="26"/>
          <w:szCs w:val="26"/>
        </w:rPr>
        <w:t>.</w:t>
      </w:r>
      <w:r w:rsidR="00722612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вступает в силу </w:t>
      </w:r>
      <w:proofErr w:type="gramStart"/>
      <w:r w:rsidR="00722612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  дня</w:t>
      </w:r>
      <w:proofErr w:type="gramEnd"/>
      <w:r w:rsidR="00722612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подписания.</w:t>
      </w:r>
    </w:p>
    <w:p w14:paraId="1658561C" w14:textId="77777777" w:rsidR="00722612" w:rsidRPr="0006062E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5EC242C" w14:textId="77777777" w:rsidR="00722612" w:rsidRPr="0006062E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F348812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54FD71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Глава муниципального образования                                                  Н.В. Бондарев</w:t>
      </w:r>
    </w:p>
    <w:p w14:paraId="408BCF43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3"/>
        <w:gridCol w:w="7866"/>
      </w:tblGrid>
      <w:tr w:rsidR="00722612" w:rsidRPr="00F9414C" w14:paraId="5C84D0F7" w14:textId="77777777" w:rsidTr="0006062E">
        <w:tc>
          <w:tcPr>
            <w:tcW w:w="1773" w:type="dxa"/>
            <w:shd w:val="clear" w:color="auto" w:fill="auto"/>
          </w:tcPr>
          <w:p w14:paraId="52E9DCCE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14:paraId="70C8A592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F11" w:rsidRPr="00F9414C" w14:paraId="113438FB" w14:textId="77777777" w:rsidTr="0006062E">
        <w:tc>
          <w:tcPr>
            <w:tcW w:w="1773" w:type="dxa"/>
            <w:shd w:val="clear" w:color="auto" w:fill="auto"/>
          </w:tcPr>
          <w:p w14:paraId="734BBAB2" w14:textId="77777777" w:rsidR="00F22F11" w:rsidRPr="00F9414C" w:rsidRDefault="00F22F11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14:paraId="3B4640E4" w14:textId="77777777" w:rsidR="00F22F11" w:rsidRPr="00F9414C" w:rsidRDefault="00F22F11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3D2F31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7DEDBE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EA94DA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B13382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7F8904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9F4F11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A304A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0EAF56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34245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2C57A0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FC100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7F0C91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E6E4D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EFB282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33C7E4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DF610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7204B0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7B6F6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E01FBC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4720B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44F20F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91B7D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7C7040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47E4B9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6117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85920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098E85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D7B1B1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F7351D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714713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0C860F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71A386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2C931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634E9" w14:textId="77777777" w:rsidR="00F22F11" w:rsidRDefault="00F22F11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9B474C" w14:textId="504811B0" w:rsidR="00722612" w:rsidRPr="0006062E" w:rsidRDefault="00F214D6" w:rsidP="00F22F11">
      <w:pPr>
        <w:spacing w:after="0" w:line="240" w:lineRule="auto"/>
        <w:jc w:val="both"/>
        <w:rPr>
          <w:sz w:val="26"/>
          <w:szCs w:val="26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1DB1">
        <w:rPr>
          <w:rFonts w:ascii="Times New Roman" w:eastAsia="Times New Roman" w:hAnsi="Times New Roman" w:cs="Times New Roman"/>
          <w:sz w:val="26"/>
          <w:szCs w:val="26"/>
          <w:lang w:eastAsia="ru-RU"/>
        </w:rPr>
        <w:t>Тубольцевой Е.Ю.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 экз.,</w:t>
      </w:r>
      <w:r w:rsidRPr="0006062E">
        <w:rPr>
          <w:sz w:val="26"/>
          <w:szCs w:val="26"/>
        </w:rPr>
        <w:t xml:space="preserve"> </w:t>
      </w: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архитектуры и пространственно-градостроительного развития Оренбургской </w:t>
      </w:r>
      <w:proofErr w:type="gramStart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области,  в</w:t>
      </w:r>
      <w:proofErr w:type="gramEnd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дело.</w:t>
      </w:r>
    </w:p>
    <w:p w14:paraId="660AF830" w14:textId="77777777"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2"/>
    <w:rsid w:val="0006062E"/>
    <w:rsid w:val="001B44D7"/>
    <w:rsid w:val="002E03F8"/>
    <w:rsid w:val="00426C5C"/>
    <w:rsid w:val="004C7080"/>
    <w:rsid w:val="004D4474"/>
    <w:rsid w:val="00506D65"/>
    <w:rsid w:val="00594C69"/>
    <w:rsid w:val="005C57A0"/>
    <w:rsid w:val="006F7FCF"/>
    <w:rsid w:val="00722612"/>
    <w:rsid w:val="007D0FC6"/>
    <w:rsid w:val="008500DA"/>
    <w:rsid w:val="00891DB1"/>
    <w:rsid w:val="008E216B"/>
    <w:rsid w:val="00907587"/>
    <w:rsid w:val="00A0751B"/>
    <w:rsid w:val="00CE5CA0"/>
    <w:rsid w:val="00E03F4D"/>
    <w:rsid w:val="00F214D6"/>
    <w:rsid w:val="00F22F11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4C7"/>
  <w15:docId w15:val="{DC0F1331-EE75-4287-8E4F-9CE7935F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2024-05-28T04:23:00Z</cp:lastPrinted>
  <dcterms:created xsi:type="dcterms:W3CDTF">2024-05-28T04:16:00Z</dcterms:created>
  <dcterms:modified xsi:type="dcterms:W3CDTF">2024-05-28T04:31:00Z</dcterms:modified>
</cp:coreProperties>
</file>